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32"/>
          <w:szCs w:val="32"/>
          <w:rtl w:val="0"/>
        </w:rPr>
        <w:t xml:space="preserve">Digital Learning Matrix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color w:val="5b9bd5"/>
          <w:sz w:val="32"/>
          <w:szCs w:val="32"/>
          <w:rtl w:val="0"/>
        </w:rPr>
        <w:t xml:space="preserve">Students</w:t>
      </w:r>
      <w:r w:rsidDel="00000000" w:rsidR="00000000" w:rsidRPr="00000000">
        <w:rPr>
          <w:b w:val="1"/>
          <w:sz w:val="32"/>
          <w:szCs w:val="32"/>
          <w:rtl w:val="0"/>
        </w:rPr>
        <w:t xml:space="preserve">, </w:t>
      </w:r>
      <w:r w:rsidDel="00000000" w:rsidR="00000000" w:rsidRPr="00000000">
        <w:rPr>
          <w:b w:val="1"/>
          <w:color w:val="70ad47"/>
          <w:sz w:val="32"/>
          <w:szCs w:val="32"/>
          <w:rtl w:val="0"/>
        </w:rPr>
        <w:t xml:space="preserve">Teachers</w:t>
      </w:r>
      <w:r w:rsidDel="00000000" w:rsidR="00000000" w:rsidRPr="00000000">
        <w:rPr>
          <w:b w:val="1"/>
          <w:sz w:val="32"/>
          <w:szCs w:val="32"/>
          <w:rtl w:val="0"/>
        </w:rPr>
        <w:t xml:space="preserve">, Resources</w:t>
      </w:r>
    </w:p>
    <w:tbl>
      <w:tblPr>
        <w:tblStyle w:val="Table1"/>
        <w:bidi w:val="0"/>
        <w:tblW w:w="10268.0" w:type="dxa"/>
        <w:jc w:val="left"/>
        <w:tblInd w:w="-4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34"/>
        <w:gridCol w:w="5134"/>
        <w:tblGridChange w:id="0">
          <w:tblGrid>
            <w:gridCol w:w="5134"/>
            <w:gridCol w:w="5134"/>
          </w:tblGrid>
        </w:tblGridChange>
      </w:tblGrid>
      <w:tr>
        <w:trPr>
          <w:trHeight w:val="4020" w:hRule="atLeast"/>
        </w:trPr>
        <w:tc>
          <w:tcPr>
            <w:shd w:fill="deebf6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bookmarkStart w:colFirst="0" w:colLast="0" w:name="h.gjdgxs" w:id="0"/>
            <w:bookmarkEnd w:id="0"/>
            <w:r w:rsidDel="00000000" w:rsidR="00000000" w:rsidRPr="00000000">
              <w:rPr>
                <w:b w:val="1"/>
                <w:color w:val="5b9bd5"/>
                <w:sz w:val="24"/>
                <w:szCs w:val="24"/>
                <w:u w:val="single"/>
                <w:rtl w:val="0"/>
              </w:rPr>
              <w:t xml:space="preserve">TN State Standards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3180"/>
              </w:tabs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ab/>
            </w:r>
          </w:p>
        </w:tc>
        <w:tc>
          <w:tcPr>
            <w:shd w:fill="b6d7a8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color w:val="70ad47"/>
                <w:sz w:val="24"/>
                <w:szCs w:val="24"/>
                <w:u w:val="single"/>
                <w:rtl w:val="0"/>
              </w:rPr>
              <w:t xml:space="preserve">ISTE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Grade Level/Content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Digital Tools/Resources</w:t>
            </w:r>
          </w:p>
        </w:tc>
      </w:tr>
      <w:tr>
        <w:trPr>
          <w:trHeight w:val="3800" w:hRule="atLeast"/>
        </w:trPr>
        <w:tc>
          <w:tcPr>
            <w:shd w:fill="b6d7a8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70ad47"/>
                <w:sz w:val="72"/>
                <w:szCs w:val="72"/>
                <w:u w:val="single"/>
                <w:rtl w:val="0"/>
              </w:rPr>
              <w:t xml:space="preserve">S</w:t>
            </w:r>
            <w:r w:rsidDel="00000000" w:rsidR="00000000" w:rsidRPr="00000000">
              <w:rPr>
                <w:color w:val="70ad47"/>
                <w:sz w:val="72"/>
                <w:szCs w:val="72"/>
                <w:rtl w:val="0"/>
              </w:rPr>
              <w:t xml:space="preserve">ubstitution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70ad47"/>
                <w:sz w:val="72"/>
                <w:szCs w:val="72"/>
                <w:u w:val="single"/>
                <w:rtl w:val="0"/>
              </w:rPr>
              <w:t xml:space="preserve">A</w:t>
            </w:r>
            <w:r w:rsidDel="00000000" w:rsidR="00000000" w:rsidRPr="00000000">
              <w:rPr>
                <w:color w:val="70ad47"/>
                <w:sz w:val="72"/>
                <w:szCs w:val="72"/>
                <w:rtl w:val="0"/>
              </w:rPr>
              <w:t xml:space="preserve">ugmentation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70ad47"/>
                <w:sz w:val="72"/>
                <w:szCs w:val="72"/>
                <w:u w:val="single"/>
                <w:rtl w:val="0"/>
              </w:rPr>
              <w:t xml:space="preserve">M</w:t>
            </w:r>
            <w:r w:rsidDel="00000000" w:rsidR="00000000" w:rsidRPr="00000000">
              <w:rPr>
                <w:color w:val="70ad47"/>
                <w:sz w:val="72"/>
                <w:szCs w:val="72"/>
                <w:rtl w:val="0"/>
              </w:rPr>
              <w:t xml:space="preserve">odification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70ad47"/>
                <w:sz w:val="72"/>
                <w:szCs w:val="72"/>
                <w:u w:val="single"/>
                <w:rtl w:val="0"/>
              </w:rPr>
              <w:t xml:space="preserve">R</w:t>
            </w:r>
            <w:r w:rsidDel="00000000" w:rsidR="00000000" w:rsidRPr="00000000">
              <w:rPr>
                <w:color w:val="70ad47"/>
                <w:sz w:val="72"/>
                <w:szCs w:val="72"/>
                <w:rtl w:val="0"/>
              </w:rPr>
              <w:t xml:space="preserve">edefinition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bf6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color w:val="5b9bd5"/>
                <w:sz w:val="24"/>
                <w:szCs w:val="24"/>
                <w:u w:val="single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What are your students doing?</w:t>
            </w:r>
          </w:p>
        </w:tc>
      </w:tr>
    </w:tbl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